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00BC57">
      <w:pPr>
        <w:spacing w:after="40"/>
        <w:jc w:val="center"/>
      </w:pPr>
      <w:r>
        <w:rPr>
          <w:rFonts w:ascii="Calibri" w:hAnsi="Calibri" w:eastAsia="微软雅黑"/>
          <w:b/>
          <w:color w:val="1F4E78"/>
          <w:sz w:val="34"/>
        </w:rPr>
        <w:t>工艺做“减法”，性能做“加法”：宝乘电子 TMBF 系列封装结构焕新升级</w:t>
      </w:r>
    </w:p>
    <w:p w14:paraId="765FC0D7">
      <w:pPr>
        <w:spacing w:after="240"/>
        <w:jc w:val="center"/>
      </w:pPr>
      <w:r>
        <w:rPr>
          <w:rFonts w:ascii="Calibri" w:hAnsi="Calibri" w:eastAsia="微软雅黑"/>
          <w:b w:val="0"/>
          <w:color w:val="595959"/>
          <w:sz w:val="24"/>
        </w:rPr>
        <w:t>——从跳线结构到两片框架，交期更快、芯片更大、焊点更稳</w:t>
      </w:r>
    </w:p>
    <w:p w14:paraId="4268528B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在开关电源、电源适配器、快充与 LED 驱动等应用中，整流桥承担着把交流电转换为直流电的“第一道关口”。对于主打小体积、低高度的贴片（SMD）整流桥而言，如何在有限的封装空间内兼顾生产效率、品质稳定性与芯片适配能力，始终是封装设计绕不开的核心命题。</w:t>
      </w:r>
      <w:bookmarkStart w:id="0" w:name="_GoBack"/>
      <w:bookmarkEnd w:id="0"/>
    </w:p>
    <w:p w14:paraId="731237D8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2026 年 7 月，国家级专精特新“小巨人”企业——山东宝乘电子有限公司正式发布 TMBF 系列封装框架结构变更通知，将该系列产品由传统“跳线结构”升级为“两片框架结构”，并对产品外形与引脚尺寸进行局部优化。这次看似“微小”的结构调整，背后是一套完整的效率、品质与选型能力的系统性提升。</w:t>
      </w:r>
    </w:p>
    <w:p w14:paraId="67E715ED">
      <w:pPr>
        <w:spacing w:before="200" w:after="120"/>
      </w:pPr>
      <w:r>
        <w:rPr>
          <w:rFonts w:ascii="Calibri" w:hAnsi="Calibri" w:eastAsia="微软雅黑"/>
          <w:b/>
          <w:color w:val="1F4E78"/>
          <w:sz w:val="30"/>
        </w:rPr>
        <w:t>一、为什么改？直击跳线结构的三大痛点</w:t>
      </w:r>
    </w:p>
    <w:p w14:paraId="006C5EE8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传统 TMBF 系列采用“跳线结构”——内部依赖跳线（bonding wire）实现桥式电气连接。这一结构虽然成熟，却存在三个难以回避的问题：</w:t>
      </w:r>
    </w:p>
    <w:p w14:paraId="3C82AF20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1. 工艺复杂：跳线焊接环节多、工序繁琐，生产效率受限；</w:t>
      </w:r>
    </w:p>
    <w:p w14:paraId="32B5B95D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2. 空间紧凑：内部空间紧张，可容纳的芯片尺寸有限，型号扩展困难；</w:t>
      </w:r>
    </w:p>
    <w:p w14:paraId="3DB0771C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3. 稳定性隐忧：多一道连接工序，就多一个品质波动的潜在风险点。</w:t>
      </w:r>
    </w:p>
    <w:p w14:paraId="075AC226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正是这些痛点，促使宝乘电子在封装工艺上做一次“减法”。</w:t>
      </w:r>
    </w:p>
    <w:p w14:paraId="6361E2EB">
      <w:pPr>
        <w:spacing w:before="200" w:after="120"/>
      </w:pPr>
      <w:r>
        <w:rPr>
          <w:rFonts w:ascii="Calibri" w:hAnsi="Calibri" w:eastAsia="微软雅黑"/>
          <w:b/>
          <w:color w:val="1F4E78"/>
          <w:sz w:val="30"/>
        </w:rPr>
        <w:t>二、改了哪些？三大核心升级逐一拆解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2133"/>
        <w:gridCol w:w="2133"/>
        <w:gridCol w:w="2130"/>
      </w:tblGrid>
      <w:tr w14:paraId="2B42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  <w:shd w:val="clear" w:color="auto" w:fill="1F4E78"/>
          </w:tcPr>
          <w:p w14:paraId="6A70E939">
            <w:pPr>
              <w:spacing w:after="0" w:line="240" w:lineRule="auto"/>
            </w:pPr>
            <w:r>
              <w:rPr>
                <w:rFonts w:ascii="Calibri" w:hAnsi="Calibri" w:eastAsia="微软雅黑"/>
                <w:b/>
                <w:color w:val="FFFFFF"/>
                <w:sz w:val="20"/>
              </w:rPr>
              <w:t>对比维度</w:t>
            </w:r>
          </w:p>
        </w:tc>
        <w:tc>
          <w:tcPr>
            <w:tcW w:w="2160" w:type="dxa"/>
            <w:shd w:val="clear" w:color="auto" w:fill="1F4E78"/>
          </w:tcPr>
          <w:p w14:paraId="024C8753">
            <w:pPr>
              <w:spacing w:after="0" w:line="240" w:lineRule="auto"/>
            </w:pPr>
            <w:r>
              <w:rPr>
                <w:rFonts w:ascii="Calibri" w:hAnsi="Calibri" w:eastAsia="微软雅黑"/>
                <w:b/>
                <w:color w:val="FFFFFF"/>
                <w:sz w:val="20"/>
              </w:rPr>
              <w:t>变更前</w:t>
            </w:r>
          </w:p>
        </w:tc>
        <w:tc>
          <w:tcPr>
            <w:tcW w:w="2160" w:type="dxa"/>
            <w:shd w:val="clear" w:color="auto" w:fill="1F4E78"/>
          </w:tcPr>
          <w:p w14:paraId="47CFA0C3">
            <w:pPr>
              <w:spacing w:after="0" w:line="240" w:lineRule="auto"/>
            </w:pPr>
            <w:r>
              <w:rPr>
                <w:rFonts w:ascii="Calibri" w:hAnsi="Calibri" w:eastAsia="微软雅黑"/>
                <w:b/>
                <w:color w:val="FFFFFF"/>
                <w:sz w:val="20"/>
              </w:rPr>
              <w:t>变更后</w:t>
            </w:r>
          </w:p>
        </w:tc>
        <w:tc>
          <w:tcPr>
            <w:tcW w:w="2160" w:type="dxa"/>
            <w:shd w:val="clear" w:color="auto" w:fill="1F4E78"/>
          </w:tcPr>
          <w:p w14:paraId="7C213E4E">
            <w:pPr>
              <w:spacing w:after="0" w:line="240" w:lineRule="auto"/>
            </w:pPr>
            <w:r>
              <w:rPr>
                <w:rFonts w:ascii="Calibri" w:hAnsi="Calibri" w:eastAsia="微软雅黑"/>
                <w:b/>
                <w:color w:val="FFFFFF"/>
                <w:sz w:val="20"/>
              </w:rPr>
              <w:t>升级价值</w:t>
            </w:r>
          </w:p>
        </w:tc>
      </w:tr>
      <w:tr w14:paraId="322D2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23186EDB">
            <w:pPr>
              <w:spacing w:after="0" w:line="240" w:lineRule="auto"/>
            </w:pPr>
            <w:r>
              <w:rPr>
                <w:rFonts w:ascii="Calibri" w:hAnsi="Calibri" w:eastAsia="宋体"/>
                <w:b/>
                <w:sz w:val="20"/>
              </w:rPr>
              <w:t>框架结构</w:t>
            </w:r>
          </w:p>
        </w:tc>
        <w:tc>
          <w:tcPr>
            <w:tcW w:w="2160" w:type="dxa"/>
          </w:tcPr>
          <w:p w14:paraId="054F843C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跳线结构，工艺复杂，空间紧凑</w:t>
            </w:r>
          </w:p>
        </w:tc>
        <w:tc>
          <w:tcPr>
            <w:tcW w:w="2160" w:type="dxa"/>
          </w:tcPr>
          <w:p w14:paraId="51D08D3C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两片框架结构，工艺简单，空间更大</w:t>
            </w:r>
          </w:p>
        </w:tc>
        <w:tc>
          <w:tcPr>
            <w:tcW w:w="2160" w:type="dxa"/>
          </w:tcPr>
          <w:p w14:paraId="6CC6DE12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提效、稳品质、扩型号</w:t>
            </w:r>
          </w:p>
        </w:tc>
      </w:tr>
      <w:tr w14:paraId="4CA2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0EF239DE">
            <w:pPr>
              <w:spacing w:after="0" w:line="240" w:lineRule="auto"/>
            </w:pPr>
            <w:r>
              <w:rPr>
                <w:rFonts w:ascii="Calibri" w:hAnsi="Calibri" w:eastAsia="宋体"/>
                <w:b/>
                <w:sz w:val="20"/>
              </w:rPr>
              <w:t>产品外形</w:t>
            </w:r>
          </w:p>
        </w:tc>
        <w:tc>
          <w:tcPr>
            <w:tcW w:w="2160" w:type="dxa"/>
          </w:tcPr>
          <w:p w14:paraId="76252806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极性标识为圆点、表面偏亮</w:t>
            </w:r>
          </w:p>
        </w:tc>
        <w:tc>
          <w:tcPr>
            <w:tcW w:w="2160" w:type="dxa"/>
          </w:tcPr>
          <w:p w14:paraId="4ED53456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极性标识为半圆弧、表面偏雾面</w:t>
            </w:r>
          </w:p>
        </w:tc>
        <w:tc>
          <w:tcPr>
            <w:tcW w:w="2160" w:type="dxa"/>
          </w:tcPr>
          <w:p w14:paraId="200D239E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识别更清晰、利于 AOI</w:t>
            </w:r>
          </w:p>
        </w:tc>
      </w:tr>
      <w:tr w14:paraId="619E5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60" w:type="dxa"/>
          </w:tcPr>
          <w:p w14:paraId="0F96A77F">
            <w:pPr>
              <w:spacing w:after="0" w:line="240" w:lineRule="auto"/>
            </w:pPr>
            <w:r>
              <w:rPr>
                <w:rFonts w:ascii="Calibri" w:hAnsi="Calibri" w:eastAsia="宋体"/>
                <w:b/>
                <w:sz w:val="20"/>
              </w:rPr>
              <w:t>引脚尺寸</w:t>
            </w:r>
          </w:p>
        </w:tc>
        <w:tc>
          <w:tcPr>
            <w:tcW w:w="2160" w:type="dxa"/>
          </w:tcPr>
          <w:p w14:paraId="517326E6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引脚长 0.5mm</w:t>
            </w:r>
          </w:p>
        </w:tc>
        <w:tc>
          <w:tcPr>
            <w:tcW w:w="2160" w:type="dxa"/>
          </w:tcPr>
          <w:p w14:paraId="09B1824C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引脚长 0.7mm</w:t>
            </w:r>
          </w:p>
        </w:tc>
        <w:tc>
          <w:tcPr>
            <w:tcW w:w="2160" w:type="dxa"/>
          </w:tcPr>
          <w:p w14:paraId="7260A284">
            <w:pPr>
              <w:spacing w:after="0" w:line="240" w:lineRule="auto"/>
            </w:pPr>
            <w:r>
              <w:rPr>
                <w:rFonts w:ascii="Calibri" w:hAnsi="Calibri" w:eastAsia="宋体"/>
                <w:b w:val="0"/>
                <w:sz w:val="20"/>
              </w:rPr>
              <w:t>焊接面积增大、焊点更可靠</w:t>
            </w:r>
          </w:p>
        </w:tc>
      </w:tr>
    </w:tbl>
    <w:p w14:paraId="4755ACBB">
      <w:pPr>
        <w:spacing w:after="40"/>
      </w:pPr>
    </w:p>
    <w:p w14:paraId="03AEB192">
      <w:pPr>
        <w:spacing w:after="120" w:line="336" w:lineRule="auto"/>
      </w:pPr>
      <w:r>
        <w:rPr>
          <w:rFonts w:ascii="Calibri" w:hAnsi="Calibri" w:eastAsia="宋体"/>
          <w:b/>
          <w:sz w:val="23"/>
        </w:rPr>
        <w:t>1. 框架结构：从“跳线”到“两片框架”</w:t>
      </w:r>
    </w:p>
    <w:p w14:paraId="38B8FFC6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两片框架结构将原本依赖跳线的桥式连接，改为两片独立框架的拼接设计，省去跳线焊接环节。直接好处是工艺更简单、内部空间更充裕、结构稳定性更好；更重要的是，改造后能够封装 88mil 与 95mil 芯片，让 TMBF 系列在电流与电压规格上的型号覆盖能力显著增强。</w:t>
      </w:r>
    </w:p>
    <w:p w14:paraId="4122163B">
      <w:pPr>
        <w:spacing w:after="120" w:line="336" w:lineRule="auto"/>
      </w:pPr>
      <w:r>
        <w:rPr>
          <w:rFonts w:ascii="Calibri" w:hAnsi="Calibri" w:eastAsia="宋体"/>
          <w:b/>
          <w:sz w:val="23"/>
        </w:rPr>
        <w:t>2. 产品外形：极性标识与表面工艺升级</w:t>
      </w:r>
    </w:p>
    <w:p w14:paraId="2503C22E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极性识别符号由“圆点”改为更直观的“半圆弧”，表面处理由亮面调整为雾面。半圆弧标识更清晰易辨，雾面表面对自动化光学检测（AOI）更友好，可有效降低贴装过程中极性反接的风险，提升产线可制造性。</w:t>
      </w:r>
    </w:p>
    <w:p w14:paraId="23F99D9D">
      <w:pPr>
        <w:spacing w:after="120" w:line="336" w:lineRule="auto"/>
      </w:pPr>
      <w:r>
        <w:rPr>
          <w:rFonts w:ascii="Calibri" w:hAnsi="Calibri" w:eastAsia="宋体"/>
          <w:b/>
          <w:sz w:val="23"/>
        </w:rPr>
        <w:t>3. 引脚尺寸：0.5mm → 0.7mm</w:t>
      </w:r>
    </w:p>
    <w:p w14:paraId="7706C3A4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引脚长度增加 0.2mm，直接增大与焊盘的接触面积，有助于提升 SMT 焊接强度与焊点可靠性，减少虚焊、脱焊等隐患，进一步保障整机在长期运行中的电气连接稳定性。</w:t>
      </w:r>
    </w:p>
    <w:p w14:paraId="1A432533">
      <w:pPr>
        <w:spacing w:before="200" w:after="120"/>
      </w:pPr>
      <w:r>
        <w:rPr>
          <w:rFonts w:ascii="Calibri" w:hAnsi="Calibri" w:eastAsia="微软雅黑"/>
          <w:b/>
          <w:color w:val="1F4E78"/>
          <w:sz w:val="30"/>
        </w:rPr>
        <w:t>三、可靠性与验证：用数据说话</w:t>
      </w:r>
    </w:p>
    <w:p w14:paraId="75A2E5D1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变更绝非“拍脑袋”。本次框架结构升级已通过各项可靠性实验测试及电性测试，全部符合规格书要求，并同步提供产品可靠性实验报告与电性测试报告。宝乘电子以数据为据，确保变更前后产品在电气性能与长期可靠性上的一致性与达标性。</w:t>
      </w:r>
    </w:p>
    <w:p w14:paraId="43AB98F4">
      <w:pPr>
        <w:spacing w:before="200" w:after="120"/>
      </w:pPr>
      <w:r>
        <w:rPr>
          <w:rFonts w:ascii="Calibri" w:hAnsi="Calibri" w:eastAsia="微软雅黑"/>
          <w:b/>
          <w:color w:val="1F4E78"/>
          <w:sz w:val="30"/>
        </w:rPr>
        <w:t>四、应用场景与实际效果</w:t>
      </w:r>
    </w:p>
    <w:p w14:paraId="5B588BEB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TMBF 系列贴片整流桥凭借小体积、低高度、高可靠的特点，广泛适用于：</w:t>
      </w:r>
    </w:p>
    <w:p w14:paraId="5A902017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· PC 电源、电源适配器、快充充电器；</w:t>
      </w:r>
    </w:p>
    <w:p w14:paraId="0027BD0E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· LED 驱动电源与照明；</w:t>
      </w:r>
    </w:p>
    <w:p w14:paraId="054BAAD5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· 小家电、工业电源、仪器仪表等对空间与可靠性有要求的场合。</w:t>
      </w:r>
    </w:p>
    <w:p w14:paraId="639137DD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升级后的实际效果可归纳为三点：</w:t>
      </w:r>
    </w:p>
    <w:p w14:paraId="42DC368C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· 交期更快——生产效率提升，缩短交货周期；</w:t>
      </w:r>
    </w:p>
    <w:p w14:paraId="090E04BC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· 品质更稳——工艺简化、焊点更可靠，品质稳定性增强；</w:t>
      </w:r>
    </w:p>
    <w:p w14:paraId="430E4087">
      <w:pPr>
        <w:spacing w:after="120" w:line="336" w:lineRule="auto"/>
        <w:ind w:firstLine="440"/>
      </w:pPr>
      <w:r>
        <w:rPr>
          <w:rFonts w:ascii="Calibri" w:hAnsi="Calibri" w:eastAsia="宋体"/>
          <w:b w:val="0"/>
          <w:sz w:val="22"/>
        </w:rPr>
        <w:t>· 选型更宽——可封装更大芯片，型号覆盖更多电流/电压规格。</w:t>
      </w:r>
    </w:p>
    <w:p w14:paraId="75AC56C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243B1B"/>
    <w:rsid w:val="6224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2026-09-08T06:36:00Z</dcterms:created>
  <dc:creator>AAA吴涛（涛声依旧）</dc:creator>
  <cp:lastModifiedBy>AAA吴涛（涛声依旧）</cp:lastModifiedBy>
  <dcterms:modified xsi:type="dcterms:W3CDTF">2026-09-08T06:38:53Z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DEECE25FFCAF4DA0A0E8F273657F8AB8_11</vt:lpwstr>
  </property>
  <property fmtid="{D5CDD505-2E9C-101B-9397-08002B2CF9AE}" pid="4" name="KSOTemplateDocerSaveRecord">
    <vt:lpwstr>eyJoZGlkIjoiOTc3M2Y5NzIzMDFlZjAyY2Q4Njk5ODkyYjFjNzBiNTQiLCJ1c2VySWQiOiIzMTA2NTc3MzUifQ==</vt:lpwstr>
  </property>
</Properties>
</file>